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2EC" w:rsidRDefault="009A02EC" w:rsidP="009A02EC">
      <w:pPr>
        <w:pStyle w:val="Header"/>
        <w:tabs>
          <w:tab w:val="right" w:pos="9639"/>
        </w:tabs>
        <w:rPr>
          <w:noProof w:val="0"/>
          <w:sz w:val="24"/>
        </w:rPr>
      </w:pPr>
      <w:r>
        <w:rPr>
          <w:noProof w:val="0"/>
          <w:sz w:val="24"/>
        </w:rPr>
        <w:t>3GPP TSG-RAN WG2 Meeting #</w:t>
      </w:r>
      <w:r w:rsidR="006E6CD7">
        <w:rPr>
          <w:noProof w:val="0"/>
          <w:sz w:val="24"/>
        </w:rPr>
        <w:t xml:space="preserve"> 95-bis</w:t>
      </w:r>
      <w:r>
        <w:rPr>
          <w:noProof w:val="0"/>
          <w:sz w:val="24"/>
        </w:rPr>
        <w:tab/>
      </w:r>
      <w:r>
        <w:rPr>
          <w:i/>
          <w:noProof w:val="0"/>
          <w:sz w:val="28"/>
        </w:rPr>
        <w:t>R2-1</w:t>
      </w:r>
      <w:r w:rsidR="006E6CD7">
        <w:rPr>
          <w:i/>
          <w:noProof w:val="0"/>
          <w:sz w:val="28"/>
        </w:rPr>
        <w:t>6</w:t>
      </w:r>
      <w:r w:rsidR="007F670F">
        <w:rPr>
          <w:i/>
          <w:noProof w:val="0"/>
          <w:sz w:val="28"/>
        </w:rPr>
        <w:t>6109</w:t>
      </w:r>
    </w:p>
    <w:p w:rsidR="002E2FAF" w:rsidRPr="006E6CD7" w:rsidRDefault="006E6CD7" w:rsidP="006E6CD7">
      <w:pPr>
        <w:pStyle w:val="Header"/>
        <w:tabs>
          <w:tab w:val="right" w:pos="9639"/>
        </w:tabs>
        <w:rPr>
          <w:noProof w:val="0"/>
          <w:sz w:val="24"/>
        </w:rPr>
      </w:pPr>
      <w:r w:rsidRPr="006E6CD7">
        <w:rPr>
          <w:noProof w:val="0"/>
          <w:sz w:val="24"/>
        </w:rPr>
        <w:t>Kaohsiung, Taiwan, 10 - 14 October 2016</w:t>
      </w:r>
    </w:p>
    <w:p w:rsidR="006E6CD7" w:rsidRDefault="006E6CD7" w:rsidP="00B02CB3">
      <w:pPr>
        <w:tabs>
          <w:tab w:val="left" w:pos="2127"/>
        </w:tabs>
        <w:spacing w:before="120" w:after="0"/>
        <w:ind w:left="2131" w:hanging="2131"/>
        <w:rPr>
          <w:rFonts w:ascii="Arial" w:hAnsi="Arial"/>
          <w:b/>
          <w:sz w:val="24"/>
        </w:rPr>
      </w:pPr>
    </w:p>
    <w:p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425687" w:rsidRPr="00425687">
        <w:rPr>
          <w:rFonts w:ascii="Arial" w:hAnsi="Arial"/>
          <w:sz w:val="24"/>
        </w:rPr>
        <w:t>Placement, characteristics and functionalities of New State</w:t>
      </w:r>
    </w:p>
    <w:p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E0448F">
        <w:rPr>
          <w:rFonts w:ascii="Arial" w:hAnsi="Arial"/>
          <w:sz w:val="24"/>
        </w:rPr>
        <w:t>9.2.2.1</w:t>
      </w:r>
    </w:p>
    <w:p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&lt;Discussion, Decision&gt;</w:t>
      </w:r>
    </w:p>
    <w:p w:rsidR="002E2FAF" w:rsidRDefault="002E2FAF">
      <w:pPr>
        <w:pStyle w:val="Heading1"/>
      </w:pPr>
      <w:r>
        <w:t>Introduction</w:t>
      </w:r>
    </w:p>
    <w:p w:rsidR="00425687" w:rsidRPr="00425687" w:rsidRDefault="003E5F7D">
      <w:r w:rsidRPr="003F6D2B">
        <w:t xml:space="preserve">RAN2#95 </w:t>
      </w:r>
      <w:r w:rsidR="00425687">
        <w:t>made certain agreement with regard to a “new state”; these are as follows:</w:t>
      </w:r>
    </w:p>
    <w:tbl>
      <w:tblPr>
        <w:tblStyle w:val="TableGrid"/>
        <w:tblW w:w="0" w:type="auto"/>
        <w:tblLook w:val="04A0" w:firstRow="1" w:lastRow="0" w:firstColumn="1" w:lastColumn="0" w:noHBand="0" w:noVBand="1"/>
      </w:tblPr>
      <w:tblGrid>
        <w:gridCol w:w="9781"/>
      </w:tblGrid>
      <w:tr w:rsidR="00425687" w:rsidTr="00425687">
        <w:tc>
          <w:tcPr>
            <w:tcW w:w="9781" w:type="dxa"/>
          </w:tcPr>
          <w:p w:rsidR="00425687" w:rsidRPr="00425687" w:rsidRDefault="00425687" w:rsidP="00425687">
            <w:pPr>
              <w:rPr>
                <w:rFonts w:cs="Arial"/>
              </w:rPr>
            </w:pPr>
            <w:r w:rsidRPr="00425687">
              <w:rPr>
                <w:rFonts w:cs="Arial"/>
              </w:rPr>
              <w:t>Agreement</w:t>
            </w:r>
          </w:p>
          <w:p w:rsidR="00425687" w:rsidRPr="00425687" w:rsidRDefault="00425687" w:rsidP="00425687">
            <w:pPr>
              <w:rPr>
                <w:rFonts w:cs="Arial"/>
              </w:rPr>
            </w:pPr>
            <w:r w:rsidRPr="00425687">
              <w:rPr>
                <w:rFonts w:cs="Arial"/>
              </w:rPr>
              <w:t>1</w:t>
            </w:r>
            <w:r w:rsidRPr="00425687">
              <w:rPr>
                <w:rFonts w:cs="Arial"/>
              </w:rPr>
              <w:tab/>
              <w:t>One UE has only one NR RRC state at one time.</w:t>
            </w:r>
          </w:p>
          <w:p w:rsidR="00425687" w:rsidRPr="00425687" w:rsidRDefault="00425687" w:rsidP="00425687">
            <w:pPr>
              <w:rPr>
                <w:rFonts w:cs="Arial"/>
              </w:rPr>
            </w:pPr>
            <w:r w:rsidRPr="00425687">
              <w:rPr>
                <w:rFonts w:cs="Arial"/>
              </w:rPr>
              <w:t>2</w:t>
            </w:r>
            <w:r w:rsidRPr="00425687">
              <w:rPr>
                <w:rFonts w:cs="Arial"/>
              </w:rPr>
              <w:tab/>
              <w:t>The connection (both CP and UP) between RAN and Core should be maintained in the “new state”</w:t>
            </w:r>
          </w:p>
          <w:p w:rsidR="00425687" w:rsidRPr="00425687" w:rsidRDefault="00425687" w:rsidP="00425687">
            <w:pPr>
              <w:rPr>
                <w:rFonts w:cs="Arial"/>
              </w:rPr>
            </w:pPr>
            <w:r w:rsidRPr="00425687">
              <w:rPr>
                <w:rFonts w:cs="Arial"/>
              </w:rPr>
              <w:t>FFS whether the “new state” can be transparent to Core.</w:t>
            </w:r>
          </w:p>
          <w:p w:rsidR="00425687" w:rsidRPr="00425687" w:rsidRDefault="00425687" w:rsidP="00425687">
            <w:pPr>
              <w:rPr>
                <w:rFonts w:cs="Arial"/>
              </w:rPr>
            </w:pPr>
            <w:r w:rsidRPr="00425687">
              <w:rPr>
                <w:rFonts w:cs="Arial"/>
              </w:rPr>
              <w:t>3</w:t>
            </w:r>
            <w:r w:rsidRPr="00425687">
              <w:rPr>
                <w:rFonts w:cs="Arial"/>
              </w:rPr>
              <w:tab/>
              <w:t>For the UE in the “new state”, a RAN initiated notification procedure should be used to reach UE. And the notification related parameters should be configured by RAN itself.</w:t>
            </w:r>
          </w:p>
          <w:p w:rsidR="00425687" w:rsidRPr="00425687" w:rsidRDefault="00425687" w:rsidP="00425687">
            <w:pPr>
              <w:rPr>
                <w:rFonts w:cs="Arial"/>
              </w:rPr>
            </w:pPr>
            <w:r w:rsidRPr="00425687">
              <w:rPr>
                <w:rFonts w:cs="Arial"/>
              </w:rPr>
              <w:t>FFS how the notification will be transmitted (e.g. via a beam, broadcast, etc.)</w:t>
            </w:r>
          </w:p>
          <w:p w:rsidR="00425687" w:rsidRPr="00425687" w:rsidRDefault="00425687" w:rsidP="00425687">
            <w:pPr>
              <w:rPr>
                <w:rFonts w:cs="Arial"/>
              </w:rPr>
            </w:pPr>
            <w:r w:rsidRPr="00425687">
              <w:rPr>
                <w:rFonts w:cs="Arial"/>
              </w:rPr>
              <w:t>4</w:t>
            </w:r>
            <w:proofErr w:type="gramStart"/>
            <w:r w:rsidRPr="00425687">
              <w:rPr>
                <w:rFonts w:cs="Arial"/>
              </w:rPr>
              <w:t>:.</w:t>
            </w:r>
            <w:proofErr w:type="gramEnd"/>
            <w:r w:rsidRPr="00425687">
              <w:rPr>
                <w:rFonts w:cs="Arial"/>
              </w:rPr>
              <w:t xml:space="preserve"> </w:t>
            </w:r>
            <w:r w:rsidRPr="00425687">
              <w:rPr>
                <w:rFonts w:cs="Arial"/>
              </w:rPr>
              <w:tab/>
              <w:t xml:space="preserve">For the UE in the “new state”, RAN should be aware whenever the UE moves from one “RAN-based notification area” to another. </w:t>
            </w:r>
          </w:p>
          <w:p w:rsidR="00425687" w:rsidRDefault="00425687" w:rsidP="00425687">
            <w:pPr>
              <w:rPr>
                <w:rFonts w:cs="Arial"/>
              </w:rPr>
            </w:pPr>
            <w:r w:rsidRPr="00425687">
              <w:rPr>
                <w:rFonts w:cs="Arial"/>
              </w:rPr>
              <w:t>FFS how CN location updates and RAN updates interact, if needed</w:t>
            </w:r>
          </w:p>
        </w:tc>
      </w:tr>
    </w:tbl>
    <w:p w:rsidR="00425687" w:rsidRDefault="00425687">
      <w:pPr>
        <w:rPr>
          <w:rFonts w:cs="Arial"/>
        </w:rPr>
      </w:pPr>
    </w:p>
    <w:p w:rsidR="00425687" w:rsidRDefault="00425687" w:rsidP="00425687">
      <w:pPr>
        <w:rPr>
          <w:rFonts w:cs="Arial"/>
        </w:rPr>
      </w:pPr>
      <w:r>
        <w:t>Further, the email discussion [</w:t>
      </w:r>
      <w:r w:rsidR="008E4D29">
        <w:t>1</w:t>
      </w:r>
      <w:r>
        <w:t xml:space="preserve">] is about </w:t>
      </w:r>
      <w:r w:rsidRPr="003F6D2B">
        <w:t>whether a UE in the "new state" would always move to the "full connected state" when there is the need to transmit data or whether the UE could remain in the "new state" even though some data are transmitted</w:t>
      </w:r>
      <w:r>
        <w:rPr>
          <w:rFonts w:cs="Arial"/>
        </w:rPr>
        <w:t>. This document discusses a related aspect of where the “new state” is placed and what should be its main characteristics/ functionalities.</w:t>
      </w:r>
    </w:p>
    <w:p w:rsidR="002E2FAF" w:rsidRDefault="00CB24EA">
      <w:pPr>
        <w:pStyle w:val="Heading1"/>
        <w:rPr>
          <w:rFonts w:cs="Arial"/>
        </w:rPr>
      </w:pPr>
      <w:bookmarkStart w:id="0" w:name="_GoBack"/>
      <w:bookmarkEnd w:id="0"/>
      <w:r>
        <w:rPr>
          <w:rFonts w:cs="Arial"/>
        </w:rPr>
        <w:t>Discussion</w:t>
      </w:r>
    </w:p>
    <w:p w:rsidR="003E46C3" w:rsidRPr="00842B87" w:rsidRDefault="003E46C3" w:rsidP="005757A3">
      <w:pPr>
        <w:rPr>
          <w:lang w:val="en-US"/>
        </w:rPr>
      </w:pPr>
      <w:r w:rsidRPr="00842B87">
        <w:rPr>
          <w:lang w:val="en-US"/>
        </w:rPr>
        <w:t xml:space="preserve">A UE has two states of operation in LTE, namely RRC_IDLE and RRC_Connected (generally referred as Idle and Connected state/ mode in this document). Further, in LTE designed for NB-IoT support, Suspend/ Resume provides an efficient way to transition to a data transfer state (RRC_Connected) but does not allow data transfer itself since Suspend &lt;-&gt; Resume is more of a procedure, rather than being a “State”. We could continue to use a similar model perhaps for state transition; however, we might need a “new </w:t>
      </w:r>
      <w:r w:rsidRPr="00842B87">
        <w:rPr>
          <w:b/>
          <w:u w:val="single"/>
          <w:lang w:val="en-US"/>
        </w:rPr>
        <w:t>state</w:t>
      </w:r>
      <w:r w:rsidRPr="00842B87">
        <w:rPr>
          <w:lang w:val="en-US"/>
        </w:rPr>
        <w:t xml:space="preserve">” enabling the data transfer while </w:t>
      </w:r>
      <w:r w:rsidRPr="00842B87">
        <w:rPr>
          <w:i/>
          <w:iCs/>
          <w:u w:val="single"/>
          <w:lang w:val="en-US"/>
        </w:rPr>
        <w:t>in</w:t>
      </w:r>
      <w:r w:rsidRPr="00842B87">
        <w:rPr>
          <w:lang w:val="en-US"/>
        </w:rPr>
        <w:t xml:space="preserve"> the state. </w:t>
      </w:r>
    </w:p>
    <w:p w:rsidR="005757A3" w:rsidRPr="00842B87" w:rsidRDefault="005757A3" w:rsidP="005757A3">
      <w:pPr>
        <w:rPr>
          <w:lang w:val="en-US" w:eastAsia="ja-JP"/>
        </w:rPr>
      </w:pPr>
      <w:r w:rsidRPr="00842B87">
        <w:rPr>
          <w:lang w:val="en-US" w:eastAsia="ja-JP"/>
        </w:rPr>
        <w:t xml:space="preserve">The “new state” as any other </w:t>
      </w:r>
      <w:r w:rsidR="003E46C3" w:rsidRPr="00842B87">
        <w:rPr>
          <w:b/>
          <w:u w:val="single"/>
          <w:lang w:val="en-US"/>
        </w:rPr>
        <w:t>state</w:t>
      </w:r>
      <w:r w:rsidR="003E46C3" w:rsidRPr="00842B87" w:rsidDel="003E46C3">
        <w:rPr>
          <w:lang w:val="en-US" w:eastAsia="ja-JP"/>
        </w:rPr>
        <w:t xml:space="preserve"> </w:t>
      </w:r>
      <w:r w:rsidRPr="00842B87">
        <w:rPr>
          <w:lang w:val="en-US" w:eastAsia="ja-JP"/>
        </w:rPr>
        <w:t xml:space="preserve">should have mobility support specifying UE behavior at least upon cell change. With regards to UE mobility in the “new state" – following </w:t>
      </w:r>
      <w:r w:rsidR="00BE471F" w:rsidRPr="00842B87">
        <w:rPr>
          <w:lang w:val="en-US" w:eastAsia="ja-JP"/>
        </w:rPr>
        <w:t>options</w:t>
      </w:r>
      <w:r w:rsidRPr="00842B87">
        <w:rPr>
          <w:lang w:val="en-US" w:eastAsia="ja-JP"/>
        </w:rPr>
        <w:t xml:space="preserve"> are seen: </w:t>
      </w:r>
    </w:p>
    <w:p w:rsidR="005757A3" w:rsidRPr="00842B87" w:rsidRDefault="005757A3" w:rsidP="005757A3">
      <w:pPr>
        <w:rPr>
          <w:lang w:val="en-US" w:eastAsia="ja-JP"/>
        </w:rPr>
      </w:pPr>
      <w:r w:rsidRPr="00842B87">
        <w:rPr>
          <w:lang w:val="en-US" w:eastAsia="ja-JP"/>
        </w:rPr>
        <w:t xml:space="preserve">1) </w:t>
      </w:r>
      <w:r w:rsidRPr="00842B87">
        <w:rPr>
          <w:b/>
          <w:u w:val="single"/>
          <w:lang w:val="en-US" w:eastAsia="ja-JP"/>
        </w:rPr>
        <w:t>Completely-Autonomous</w:t>
      </w:r>
      <w:r w:rsidRPr="00842B87">
        <w:rPr>
          <w:lang w:val="en-US" w:eastAsia="ja-JP"/>
        </w:rPr>
        <w:t xml:space="preserve">: No cell-change related configuration provided by gNB and therefore UE makes/ evaluates its own measurements/ decision; </w:t>
      </w:r>
    </w:p>
    <w:p w:rsidR="005757A3" w:rsidRPr="00842B87" w:rsidRDefault="005757A3" w:rsidP="005757A3">
      <w:pPr>
        <w:rPr>
          <w:lang w:val="en-US" w:eastAsia="ja-JP"/>
        </w:rPr>
      </w:pPr>
      <w:r w:rsidRPr="00842B87">
        <w:rPr>
          <w:lang w:val="en-US" w:eastAsia="ja-JP"/>
        </w:rPr>
        <w:t>2) Like</w:t>
      </w:r>
      <w:r w:rsidRPr="00842B87">
        <w:rPr>
          <w:b/>
          <w:u w:val="single"/>
          <w:lang w:val="en-US" w:eastAsia="ja-JP"/>
        </w:rPr>
        <w:t xml:space="preserve"> LTE RRC_Idle reselections</w:t>
      </w:r>
      <w:r w:rsidRPr="00842B87">
        <w:rPr>
          <w:lang w:val="en-US" w:eastAsia="ja-JP"/>
        </w:rPr>
        <w:t xml:space="preserve">: Network controls the measurement/ cell-change parameters and UE behaves accordingly but does not report anything </w:t>
      </w:r>
      <w:r w:rsidR="00F833AD" w:rsidRPr="00842B87">
        <w:rPr>
          <w:rFonts w:hint="eastAsia"/>
          <w:lang w:val="en-US" w:eastAsia="ja-JP"/>
        </w:rPr>
        <w:t xml:space="preserve">as RAN level signalling </w:t>
      </w:r>
      <w:r w:rsidRPr="00842B87">
        <w:rPr>
          <w:lang w:val="en-US" w:eastAsia="ja-JP"/>
        </w:rPr>
        <w:t xml:space="preserve">(no measurement reporting, no cell-change reporting: just like </w:t>
      </w:r>
      <w:proofErr w:type="gramStart"/>
      <w:r w:rsidRPr="00842B87">
        <w:rPr>
          <w:lang w:val="en-US" w:eastAsia="ja-JP"/>
        </w:rPr>
        <w:t>Idle</w:t>
      </w:r>
      <w:proofErr w:type="gramEnd"/>
      <w:r w:rsidRPr="00842B87">
        <w:rPr>
          <w:lang w:val="en-US" w:eastAsia="ja-JP"/>
        </w:rPr>
        <w:t xml:space="preserve"> mode reselections) </w:t>
      </w:r>
    </w:p>
    <w:p w:rsidR="005757A3" w:rsidRPr="00842B87" w:rsidRDefault="005757A3" w:rsidP="005757A3">
      <w:pPr>
        <w:rPr>
          <w:lang w:val="en-US" w:eastAsia="ja-JP"/>
        </w:rPr>
      </w:pPr>
      <w:r w:rsidRPr="00842B87">
        <w:rPr>
          <w:lang w:val="en-US" w:eastAsia="ja-JP"/>
        </w:rPr>
        <w:t>3) same as 2 but including notifying the RAN only about cell changes (but no measurement reporting) and UE receives a confirmation to enable a Security key change (e.g. incremented NCC). </w:t>
      </w:r>
    </w:p>
    <w:p w:rsidR="000F6ADB" w:rsidRPr="00842B87" w:rsidRDefault="005757A3">
      <w:pPr>
        <w:rPr>
          <w:rFonts w:cs="Arial"/>
        </w:rPr>
      </w:pPr>
      <w:r w:rsidRPr="00842B87">
        <w:rPr>
          <w:lang w:val="en-US" w:eastAsia="ja-JP"/>
        </w:rPr>
        <w:lastRenderedPageBreak/>
        <w:t xml:space="preserve">Until it is ruled out that frequent small data packets need not be protected (ciphered), </w:t>
      </w:r>
      <w:r w:rsidR="00BE471F" w:rsidRPr="00842B87">
        <w:rPr>
          <w:lang w:val="en-US" w:eastAsia="ja-JP"/>
        </w:rPr>
        <w:t>we assume that Option 3 is necessary to be supported</w:t>
      </w:r>
      <w:r w:rsidRPr="00842B87">
        <w:rPr>
          <w:lang w:val="en-US" w:eastAsia="ja-JP"/>
        </w:rPr>
        <w:t>.</w:t>
      </w:r>
      <w:r w:rsidR="00BE471F" w:rsidRPr="00842B87">
        <w:rPr>
          <w:lang w:val="en-US" w:eastAsia="ja-JP"/>
        </w:rPr>
        <w:t xml:space="preserve"> Further, </w:t>
      </w:r>
      <w:r w:rsidR="00BE471F" w:rsidRPr="00842B87">
        <w:rPr>
          <w:rFonts w:cs="Arial"/>
        </w:rPr>
        <w:t>t</w:t>
      </w:r>
      <w:r w:rsidR="00615C7F" w:rsidRPr="00842B87">
        <w:rPr>
          <w:rFonts w:cs="Arial"/>
        </w:rPr>
        <w:t>he below table compares the expected functionalities of a “New State” and LTE Idle and Connected Mode functionalities</w:t>
      </w:r>
      <w:r w:rsidR="00BE471F" w:rsidRPr="00842B87">
        <w:rPr>
          <w:rFonts w:cs="Arial"/>
        </w:rPr>
        <w:t>:</w:t>
      </w:r>
    </w:p>
    <w:tbl>
      <w:tblPr>
        <w:tblStyle w:val="TableColorful2"/>
        <w:tblW w:w="9857" w:type="dxa"/>
        <w:tblLook w:val="04A0" w:firstRow="1" w:lastRow="0" w:firstColumn="1" w:lastColumn="0" w:noHBand="0" w:noVBand="1"/>
      </w:tblPr>
      <w:tblGrid>
        <w:gridCol w:w="2563"/>
        <w:gridCol w:w="2579"/>
        <w:gridCol w:w="2538"/>
        <w:gridCol w:w="2177"/>
      </w:tblGrid>
      <w:tr w:rsidR="007C5163" w:rsidRPr="00933165" w:rsidTr="007C51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3" w:type="dxa"/>
          </w:tcPr>
          <w:p w:rsidR="007C5163" w:rsidRPr="00933165" w:rsidRDefault="007C5163">
            <w:pPr>
              <w:rPr>
                <w:b w:val="0"/>
                <w:sz w:val="16"/>
              </w:rPr>
            </w:pPr>
          </w:p>
        </w:tc>
        <w:tc>
          <w:tcPr>
            <w:tcW w:w="2579" w:type="dxa"/>
          </w:tcPr>
          <w:p w:rsidR="007C5163" w:rsidRPr="00933165" w:rsidRDefault="007C5163">
            <w:pPr>
              <w:cnfStyle w:val="100000000000" w:firstRow="1" w:lastRow="0" w:firstColumn="0" w:lastColumn="0" w:oddVBand="0" w:evenVBand="0" w:oddHBand="0" w:evenHBand="0" w:firstRowFirstColumn="0" w:firstRowLastColumn="0" w:lastRowFirstColumn="0" w:lastRowLastColumn="0"/>
              <w:rPr>
                <w:b w:val="0"/>
                <w:sz w:val="16"/>
              </w:rPr>
            </w:pPr>
            <w:r w:rsidRPr="00933165">
              <w:rPr>
                <w:b w:val="0"/>
                <w:sz w:val="16"/>
              </w:rPr>
              <w:t>Idle Mode</w:t>
            </w:r>
          </w:p>
        </w:tc>
        <w:tc>
          <w:tcPr>
            <w:tcW w:w="2538" w:type="dxa"/>
          </w:tcPr>
          <w:p w:rsidR="007C5163" w:rsidRPr="00933165" w:rsidRDefault="007C5163">
            <w:pPr>
              <w:cnfStyle w:val="100000000000" w:firstRow="1" w:lastRow="0" w:firstColumn="0" w:lastColumn="0" w:oddVBand="0" w:evenVBand="0" w:oddHBand="0" w:evenHBand="0" w:firstRowFirstColumn="0" w:firstRowLastColumn="0" w:lastRowFirstColumn="0" w:lastRowLastColumn="0"/>
              <w:rPr>
                <w:b w:val="0"/>
                <w:sz w:val="16"/>
              </w:rPr>
            </w:pPr>
            <w:r w:rsidRPr="00933165">
              <w:rPr>
                <w:b w:val="0"/>
                <w:sz w:val="16"/>
              </w:rPr>
              <w:t>New State</w:t>
            </w:r>
          </w:p>
        </w:tc>
        <w:tc>
          <w:tcPr>
            <w:tcW w:w="2177" w:type="dxa"/>
          </w:tcPr>
          <w:p w:rsidR="007C5163" w:rsidRPr="00933165" w:rsidRDefault="007C5163" w:rsidP="00F00F31">
            <w:pPr>
              <w:cnfStyle w:val="100000000000" w:firstRow="1" w:lastRow="0" w:firstColumn="0" w:lastColumn="0" w:oddVBand="0" w:evenVBand="0" w:oddHBand="0" w:evenHBand="0" w:firstRowFirstColumn="0" w:firstRowLastColumn="0" w:lastRowFirstColumn="0" w:lastRowLastColumn="0"/>
              <w:rPr>
                <w:b w:val="0"/>
                <w:sz w:val="16"/>
              </w:rPr>
            </w:pPr>
            <w:r w:rsidRPr="00933165">
              <w:rPr>
                <w:b w:val="0"/>
                <w:sz w:val="16"/>
              </w:rPr>
              <w:t>Connected Mode</w:t>
            </w:r>
          </w:p>
        </w:tc>
      </w:tr>
      <w:tr w:rsidR="007C5163" w:rsidRPr="00933165" w:rsidTr="007C5163">
        <w:tc>
          <w:tcPr>
            <w:cnfStyle w:val="001000000000" w:firstRow="0" w:lastRow="0" w:firstColumn="1" w:lastColumn="0" w:oddVBand="0" w:evenVBand="0" w:oddHBand="0" w:evenHBand="0" w:firstRowFirstColumn="0" w:firstRowLastColumn="0" w:lastRowFirstColumn="0" w:lastRowLastColumn="0"/>
            <w:tcW w:w="2563" w:type="dxa"/>
          </w:tcPr>
          <w:p w:rsidR="007C5163" w:rsidRPr="00933165" w:rsidRDefault="007C5163">
            <w:pPr>
              <w:rPr>
                <w:b w:val="0"/>
                <w:sz w:val="16"/>
              </w:rPr>
            </w:pPr>
            <w:r w:rsidRPr="00933165">
              <w:rPr>
                <w:b w:val="0"/>
                <w:sz w:val="16"/>
              </w:rPr>
              <w:t>Uplink Activity</w:t>
            </w:r>
          </w:p>
        </w:tc>
        <w:tc>
          <w:tcPr>
            <w:tcW w:w="2579" w:type="dxa"/>
          </w:tcPr>
          <w:p w:rsidR="007C5163" w:rsidRPr="00933165" w:rsidRDefault="007C5163" w:rsidP="00EF3DBC">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No</w:t>
            </w:r>
          </w:p>
        </w:tc>
        <w:tc>
          <w:tcPr>
            <w:tcW w:w="2538" w:type="dxa"/>
          </w:tcPr>
          <w:p w:rsidR="007C5163" w:rsidRPr="00933165" w:rsidRDefault="007C5163">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Yes (Small data transfer capabilities)</w:t>
            </w:r>
          </w:p>
        </w:tc>
        <w:tc>
          <w:tcPr>
            <w:tcW w:w="2177" w:type="dxa"/>
          </w:tcPr>
          <w:p w:rsidR="007C5163" w:rsidRPr="00933165" w:rsidRDefault="007C5163"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Yes</w:t>
            </w:r>
          </w:p>
        </w:tc>
      </w:tr>
      <w:tr w:rsidR="007C5163" w:rsidRPr="00933165" w:rsidTr="007C5163">
        <w:tc>
          <w:tcPr>
            <w:cnfStyle w:val="001000000000" w:firstRow="0" w:lastRow="0" w:firstColumn="1" w:lastColumn="0" w:oddVBand="0" w:evenVBand="0" w:oddHBand="0" w:evenHBand="0" w:firstRowFirstColumn="0" w:firstRowLastColumn="0" w:lastRowFirstColumn="0" w:lastRowLastColumn="0"/>
            <w:tcW w:w="2563" w:type="dxa"/>
          </w:tcPr>
          <w:p w:rsidR="007C5163" w:rsidRPr="00933165" w:rsidRDefault="007C5163">
            <w:pPr>
              <w:rPr>
                <w:b w:val="0"/>
                <w:sz w:val="16"/>
              </w:rPr>
            </w:pPr>
            <w:r w:rsidRPr="00933165">
              <w:rPr>
                <w:b w:val="0"/>
                <w:sz w:val="16"/>
              </w:rPr>
              <w:t>AS-Security</w:t>
            </w:r>
          </w:p>
        </w:tc>
        <w:tc>
          <w:tcPr>
            <w:tcW w:w="2579" w:type="dxa"/>
          </w:tcPr>
          <w:p w:rsidR="007C5163" w:rsidRPr="00933165" w:rsidRDefault="007C5163" w:rsidP="00752D3F">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No</w:t>
            </w:r>
          </w:p>
        </w:tc>
        <w:tc>
          <w:tcPr>
            <w:tcW w:w="2538" w:type="dxa"/>
          </w:tcPr>
          <w:p w:rsidR="007C5163" w:rsidRPr="00933165" w:rsidRDefault="007C5163" w:rsidP="003331C6">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Yes (since only legitimate UEs should be able to perform data transfer.)</w:t>
            </w:r>
          </w:p>
        </w:tc>
        <w:tc>
          <w:tcPr>
            <w:tcW w:w="2177" w:type="dxa"/>
          </w:tcPr>
          <w:p w:rsidR="007C5163" w:rsidRPr="00933165" w:rsidRDefault="007C5163"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Yes</w:t>
            </w:r>
          </w:p>
        </w:tc>
      </w:tr>
      <w:tr w:rsidR="00B44AB4" w:rsidRPr="00933165" w:rsidTr="007C5163">
        <w:tc>
          <w:tcPr>
            <w:cnfStyle w:val="001000000000" w:firstRow="0" w:lastRow="0" w:firstColumn="1" w:lastColumn="0" w:oddVBand="0" w:evenVBand="0" w:oddHBand="0" w:evenHBand="0" w:firstRowFirstColumn="0" w:firstRowLastColumn="0" w:lastRowFirstColumn="0" w:lastRowLastColumn="0"/>
            <w:tcW w:w="2563" w:type="dxa"/>
          </w:tcPr>
          <w:p w:rsidR="00B44AB4" w:rsidRPr="00933165" w:rsidRDefault="00B44AB4" w:rsidP="003331C6">
            <w:pPr>
              <w:rPr>
                <w:sz w:val="16"/>
              </w:rPr>
            </w:pPr>
            <w:r w:rsidRPr="00933165">
              <w:rPr>
                <w:b w:val="0"/>
                <w:sz w:val="16"/>
              </w:rPr>
              <w:t>NAS-Security</w:t>
            </w:r>
          </w:p>
        </w:tc>
        <w:tc>
          <w:tcPr>
            <w:tcW w:w="2579" w:type="dxa"/>
          </w:tcPr>
          <w:p w:rsidR="00B44AB4" w:rsidRPr="00933165" w:rsidRDefault="00B44AB4">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Available</w:t>
            </w:r>
          </w:p>
        </w:tc>
        <w:tc>
          <w:tcPr>
            <w:tcW w:w="2538" w:type="dxa"/>
          </w:tcPr>
          <w:p w:rsidR="00B44AB4" w:rsidRPr="00933165" w:rsidRDefault="00B44AB4" w:rsidP="00752D3F">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(Should be) available</w:t>
            </w:r>
          </w:p>
        </w:tc>
        <w:tc>
          <w:tcPr>
            <w:tcW w:w="2177" w:type="dxa"/>
          </w:tcPr>
          <w:p w:rsidR="00B44AB4" w:rsidRPr="00933165" w:rsidRDefault="00B44AB4"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Available</w:t>
            </w:r>
          </w:p>
        </w:tc>
      </w:tr>
      <w:tr w:rsidR="00B44AB4" w:rsidRPr="00933165" w:rsidTr="007C5163">
        <w:tc>
          <w:tcPr>
            <w:cnfStyle w:val="001000000000" w:firstRow="0" w:lastRow="0" w:firstColumn="1" w:lastColumn="0" w:oddVBand="0" w:evenVBand="0" w:oddHBand="0" w:evenHBand="0" w:firstRowFirstColumn="0" w:firstRowLastColumn="0" w:lastRowFirstColumn="0" w:lastRowLastColumn="0"/>
            <w:tcW w:w="2563" w:type="dxa"/>
          </w:tcPr>
          <w:p w:rsidR="00B44AB4" w:rsidRPr="00933165" w:rsidRDefault="00B44AB4" w:rsidP="003331C6">
            <w:pPr>
              <w:rPr>
                <w:b w:val="0"/>
                <w:sz w:val="16"/>
              </w:rPr>
            </w:pPr>
            <w:r w:rsidRPr="00933165">
              <w:rPr>
                <w:b w:val="0"/>
                <w:sz w:val="16"/>
              </w:rPr>
              <w:t>Paging (does the UE needs to be Page-able to receive e.g. MT calls)</w:t>
            </w:r>
          </w:p>
        </w:tc>
        <w:tc>
          <w:tcPr>
            <w:tcW w:w="2579" w:type="dxa"/>
          </w:tcPr>
          <w:p w:rsidR="00B44AB4" w:rsidRPr="00933165" w:rsidRDefault="00B44AB4">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Yes</w:t>
            </w:r>
          </w:p>
        </w:tc>
        <w:tc>
          <w:tcPr>
            <w:tcW w:w="2538" w:type="dxa"/>
          </w:tcPr>
          <w:p w:rsidR="00B44AB4" w:rsidRPr="00933165" w:rsidRDefault="00B44AB4" w:rsidP="00752D3F">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Yes</w:t>
            </w:r>
          </w:p>
        </w:tc>
        <w:tc>
          <w:tcPr>
            <w:tcW w:w="2177" w:type="dxa"/>
          </w:tcPr>
          <w:p w:rsidR="00B44AB4" w:rsidRPr="00933165" w:rsidRDefault="00B44AB4"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Yes</w:t>
            </w:r>
          </w:p>
        </w:tc>
      </w:tr>
      <w:tr w:rsidR="00B44AB4" w:rsidRPr="00933165" w:rsidTr="007C5163">
        <w:tc>
          <w:tcPr>
            <w:cnfStyle w:val="001000000000" w:firstRow="0" w:lastRow="0" w:firstColumn="1" w:lastColumn="0" w:oddVBand="0" w:evenVBand="0" w:oddHBand="0" w:evenHBand="0" w:firstRowFirstColumn="0" w:firstRowLastColumn="0" w:lastRowFirstColumn="0" w:lastRowLastColumn="0"/>
            <w:tcW w:w="2563" w:type="dxa"/>
          </w:tcPr>
          <w:p w:rsidR="00B44AB4" w:rsidRPr="00933165" w:rsidRDefault="00B44AB4" w:rsidP="00C70C6F">
            <w:pPr>
              <w:rPr>
                <w:b w:val="0"/>
                <w:sz w:val="16"/>
              </w:rPr>
            </w:pPr>
            <w:r w:rsidRPr="00933165">
              <w:rPr>
                <w:b w:val="0"/>
                <w:sz w:val="16"/>
              </w:rPr>
              <w:t>Mobility</w:t>
            </w:r>
          </w:p>
        </w:tc>
        <w:tc>
          <w:tcPr>
            <w:tcW w:w="2579" w:type="dxa"/>
          </w:tcPr>
          <w:p w:rsidR="00B44AB4" w:rsidRDefault="00B44AB4">
            <w:pPr>
              <w:cnfStyle w:val="000000000000" w:firstRow="0" w:lastRow="0" w:firstColumn="0" w:lastColumn="0" w:oddVBand="0" w:evenVBand="0" w:oddHBand="0" w:evenHBand="0" w:firstRowFirstColumn="0" w:firstRowLastColumn="0" w:lastRowFirstColumn="0" w:lastRowLastColumn="0"/>
              <w:rPr>
                <w:sz w:val="16"/>
              </w:rPr>
            </w:pPr>
            <w:r w:rsidRPr="00256EA1">
              <w:rPr>
                <w:sz w:val="16"/>
              </w:rPr>
              <w:t>UE performs</w:t>
            </w:r>
            <w:r w:rsidRPr="00C10763">
              <w:rPr>
                <w:color w:val="FF0000"/>
                <w:sz w:val="16"/>
              </w:rPr>
              <w:t xml:space="preserve"> </w:t>
            </w:r>
            <w:r w:rsidRPr="00933165">
              <w:rPr>
                <w:sz w:val="16"/>
              </w:rPr>
              <w:t>Cell-level (Re)Selection</w:t>
            </w:r>
            <w:r w:rsidR="00BE471F">
              <w:rPr>
                <w:sz w:val="16"/>
              </w:rPr>
              <w:t xml:space="preserve"> based on Network controlled parameters,</w:t>
            </w:r>
          </w:p>
          <w:p w:rsidR="00BE471F" w:rsidRPr="00933165" w:rsidRDefault="00BE471F">
            <w:pPr>
              <w:cnfStyle w:val="000000000000" w:firstRow="0" w:lastRow="0" w:firstColumn="0" w:lastColumn="0" w:oddVBand="0" w:evenVBand="0" w:oddHBand="0" w:evenHBand="0" w:firstRowFirstColumn="0" w:firstRowLastColumn="0" w:lastRowFirstColumn="0" w:lastRowLastColumn="0"/>
              <w:rPr>
                <w:sz w:val="16"/>
              </w:rPr>
            </w:pPr>
            <w:r>
              <w:rPr>
                <w:sz w:val="16"/>
              </w:rPr>
              <w:t>Network is not sent the measurement reports or cell-change (Reselection) indications.</w:t>
            </w:r>
          </w:p>
        </w:tc>
        <w:tc>
          <w:tcPr>
            <w:tcW w:w="2538" w:type="dxa"/>
          </w:tcPr>
          <w:p w:rsidR="00BE471F" w:rsidRDefault="00BE471F">
            <w:pPr>
              <w:cnfStyle w:val="000000000000" w:firstRow="0" w:lastRow="0" w:firstColumn="0" w:lastColumn="0" w:oddVBand="0" w:evenVBand="0" w:oddHBand="0" w:evenHBand="0" w:firstRowFirstColumn="0" w:firstRowLastColumn="0" w:lastRowFirstColumn="0" w:lastRowLastColumn="0"/>
              <w:rPr>
                <w:sz w:val="16"/>
              </w:rPr>
            </w:pPr>
            <w:r>
              <w:rPr>
                <w:sz w:val="16"/>
              </w:rPr>
              <w:t xml:space="preserve">From the UE side, </w:t>
            </w:r>
            <w:r w:rsidR="00B44AB4" w:rsidRPr="00933165">
              <w:rPr>
                <w:sz w:val="16"/>
              </w:rPr>
              <w:t xml:space="preserve">Cell-level mobility must be supported e.g. to ensure that the UE is performing grant-free access in the </w:t>
            </w:r>
            <w:r w:rsidR="00B44AB4" w:rsidRPr="00933165">
              <w:rPr>
                <w:i/>
                <w:sz w:val="16"/>
              </w:rPr>
              <w:t>right</w:t>
            </w:r>
            <w:r w:rsidR="00B44AB4" w:rsidRPr="00933165">
              <w:rPr>
                <w:sz w:val="16"/>
              </w:rPr>
              <w:t xml:space="preserve"> cell. </w:t>
            </w:r>
          </w:p>
          <w:p w:rsidR="00B44AB4" w:rsidRPr="00933165" w:rsidRDefault="00BE471F">
            <w:pPr>
              <w:cnfStyle w:val="000000000000" w:firstRow="0" w:lastRow="0" w:firstColumn="0" w:lastColumn="0" w:oddVBand="0" w:evenVBand="0" w:oddHBand="0" w:evenHBand="0" w:firstRowFirstColumn="0" w:firstRowLastColumn="0" w:lastRowFirstColumn="0" w:lastRowLastColumn="0"/>
              <w:rPr>
                <w:sz w:val="16"/>
              </w:rPr>
            </w:pPr>
            <w:r>
              <w:rPr>
                <w:sz w:val="16"/>
              </w:rPr>
              <w:t>In addition, t</w:t>
            </w:r>
            <w:r w:rsidR="00B44AB4" w:rsidRPr="00933165">
              <w:rPr>
                <w:sz w:val="16"/>
              </w:rPr>
              <w:t xml:space="preserve">o avoid using the same key in Target cell, the </w:t>
            </w:r>
            <w:r w:rsidR="009A47D9">
              <w:rPr>
                <w:sz w:val="16"/>
              </w:rPr>
              <w:t>RAN should be aware of the cell change</w:t>
            </w:r>
            <w:r>
              <w:rPr>
                <w:sz w:val="16"/>
              </w:rPr>
              <w:t>s</w:t>
            </w:r>
            <w:r w:rsidR="00B44AB4" w:rsidRPr="00933165">
              <w:rPr>
                <w:sz w:val="16"/>
              </w:rPr>
              <w:t>.</w:t>
            </w:r>
          </w:p>
          <w:p w:rsidR="00B44AB4" w:rsidRPr="00933165" w:rsidRDefault="00B44AB4" w:rsidP="00A1576D">
            <w:pPr>
              <w:cnfStyle w:val="000000000000" w:firstRow="0" w:lastRow="0" w:firstColumn="0" w:lastColumn="0" w:oddVBand="0" w:evenVBand="0" w:oddHBand="0" w:evenHBand="0" w:firstRowFirstColumn="0" w:firstRowLastColumn="0" w:lastRowFirstColumn="0" w:lastRowLastColumn="0"/>
              <w:rPr>
                <w:sz w:val="16"/>
              </w:rPr>
            </w:pPr>
          </w:p>
        </w:tc>
        <w:tc>
          <w:tcPr>
            <w:tcW w:w="2177" w:type="dxa"/>
          </w:tcPr>
          <w:p w:rsidR="00B44AB4" w:rsidRPr="00933165" w:rsidRDefault="00B44AB4"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Cell-level using Handover</w:t>
            </w:r>
          </w:p>
        </w:tc>
      </w:tr>
      <w:tr w:rsidR="00B44AB4" w:rsidRPr="00933165" w:rsidTr="007C5163">
        <w:tc>
          <w:tcPr>
            <w:cnfStyle w:val="001000000000" w:firstRow="0" w:lastRow="0" w:firstColumn="1" w:lastColumn="0" w:oddVBand="0" w:evenVBand="0" w:oddHBand="0" w:evenHBand="0" w:firstRowFirstColumn="0" w:firstRowLastColumn="0" w:lastRowFirstColumn="0" w:lastRowLastColumn="0"/>
            <w:tcW w:w="2563" w:type="dxa"/>
          </w:tcPr>
          <w:p w:rsidR="00B44AB4" w:rsidRPr="00933165" w:rsidRDefault="00B44AB4">
            <w:pPr>
              <w:rPr>
                <w:b w:val="0"/>
                <w:sz w:val="16"/>
              </w:rPr>
            </w:pPr>
            <w:r w:rsidRPr="00933165">
              <w:rPr>
                <w:b w:val="0"/>
                <w:sz w:val="16"/>
              </w:rPr>
              <w:t>Measurement Reporting</w:t>
            </w:r>
          </w:p>
        </w:tc>
        <w:tc>
          <w:tcPr>
            <w:tcW w:w="2579" w:type="dxa"/>
          </w:tcPr>
          <w:p w:rsidR="00B44AB4" w:rsidRPr="00933165" w:rsidRDefault="00B44AB4">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No (UE-based)</w:t>
            </w:r>
            <w:r>
              <w:rPr>
                <w:sz w:val="16"/>
              </w:rPr>
              <w:t xml:space="preserve"> i.e. not visible to the </w:t>
            </w:r>
            <w:r w:rsidR="00BE471F">
              <w:rPr>
                <w:sz w:val="16"/>
              </w:rPr>
              <w:t xml:space="preserve">Radio </w:t>
            </w:r>
            <w:r>
              <w:rPr>
                <w:sz w:val="16"/>
              </w:rPr>
              <w:t>network.</w:t>
            </w:r>
          </w:p>
        </w:tc>
        <w:tc>
          <w:tcPr>
            <w:tcW w:w="2538" w:type="dxa"/>
          </w:tcPr>
          <w:p w:rsidR="00B44AB4" w:rsidRPr="00933165" w:rsidRDefault="00B44AB4">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 xml:space="preserve">No </w:t>
            </w:r>
          </w:p>
        </w:tc>
        <w:tc>
          <w:tcPr>
            <w:tcW w:w="2177" w:type="dxa"/>
          </w:tcPr>
          <w:p w:rsidR="00B44AB4" w:rsidRPr="00933165" w:rsidRDefault="00B44AB4"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Yes (Network-controlled)</w:t>
            </w:r>
          </w:p>
        </w:tc>
      </w:tr>
      <w:tr w:rsidR="00B44AB4" w:rsidRPr="00933165" w:rsidTr="007C5163">
        <w:tc>
          <w:tcPr>
            <w:cnfStyle w:val="001000000000" w:firstRow="0" w:lastRow="0" w:firstColumn="1" w:lastColumn="0" w:oddVBand="0" w:evenVBand="0" w:oddHBand="0" w:evenHBand="0" w:firstRowFirstColumn="0" w:firstRowLastColumn="0" w:lastRowFirstColumn="0" w:lastRowLastColumn="0"/>
            <w:tcW w:w="2563" w:type="dxa"/>
          </w:tcPr>
          <w:p w:rsidR="00B44AB4" w:rsidRPr="00933165" w:rsidRDefault="00B44AB4" w:rsidP="00F00F31">
            <w:pPr>
              <w:rPr>
                <w:b w:val="0"/>
                <w:sz w:val="16"/>
              </w:rPr>
            </w:pPr>
            <w:r w:rsidRPr="00933165">
              <w:rPr>
                <w:b w:val="0"/>
                <w:sz w:val="16"/>
              </w:rPr>
              <w:t>UE Context (including identity)</w:t>
            </w:r>
          </w:p>
        </w:tc>
        <w:tc>
          <w:tcPr>
            <w:tcW w:w="2579" w:type="dxa"/>
          </w:tcPr>
          <w:p w:rsidR="00B44AB4" w:rsidRPr="00933165" w:rsidRDefault="00B44AB4"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 xml:space="preserve">At CN level (S-TMSI) </w:t>
            </w:r>
          </w:p>
        </w:tc>
        <w:tc>
          <w:tcPr>
            <w:tcW w:w="2538" w:type="dxa"/>
          </w:tcPr>
          <w:p w:rsidR="00B44AB4" w:rsidRPr="00933165" w:rsidRDefault="00B44AB4" w:rsidP="00A1576D">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Both RAN (AS security, UE specific Id) and CN level</w:t>
            </w:r>
          </w:p>
        </w:tc>
        <w:tc>
          <w:tcPr>
            <w:tcW w:w="2177" w:type="dxa"/>
          </w:tcPr>
          <w:p w:rsidR="00B44AB4" w:rsidRPr="00933165" w:rsidRDefault="00B44AB4"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Both RAN and CN level</w:t>
            </w:r>
          </w:p>
        </w:tc>
      </w:tr>
      <w:tr w:rsidR="00B44AB4" w:rsidRPr="00933165" w:rsidTr="007C5163">
        <w:tc>
          <w:tcPr>
            <w:cnfStyle w:val="001000000000" w:firstRow="0" w:lastRow="0" w:firstColumn="1" w:lastColumn="0" w:oddVBand="0" w:evenVBand="0" w:oddHBand="0" w:evenHBand="0" w:firstRowFirstColumn="0" w:firstRowLastColumn="0" w:lastRowFirstColumn="0" w:lastRowLastColumn="0"/>
            <w:tcW w:w="2563" w:type="dxa"/>
          </w:tcPr>
          <w:p w:rsidR="00B44AB4" w:rsidRPr="00933165" w:rsidRDefault="00B44AB4" w:rsidP="00F00F31">
            <w:pPr>
              <w:rPr>
                <w:b w:val="0"/>
                <w:sz w:val="16"/>
              </w:rPr>
            </w:pPr>
            <w:r w:rsidRPr="00933165">
              <w:rPr>
                <w:b w:val="0"/>
                <w:sz w:val="16"/>
              </w:rPr>
              <w:t>System Info Acquisition</w:t>
            </w:r>
          </w:p>
        </w:tc>
        <w:tc>
          <w:tcPr>
            <w:tcW w:w="2579" w:type="dxa"/>
          </w:tcPr>
          <w:p w:rsidR="00B44AB4" w:rsidRPr="00933165" w:rsidRDefault="00B44AB4"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Essential System Info</w:t>
            </w:r>
          </w:p>
        </w:tc>
        <w:tc>
          <w:tcPr>
            <w:tcW w:w="2538" w:type="dxa"/>
          </w:tcPr>
          <w:p w:rsidR="00B44AB4" w:rsidRPr="00933165" w:rsidRDefault="00B44AB4"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Essential System Info (Note 1)</w:t>
            </w:r>
          </w:p>
        </w:tc>
        <w:tc>
          <w:tcPr>
            <w:tcW w:w="2177" w:type="dxa"/>
          </w:tcPr>
          <w:p w:rsidR="00B44AB4" w:rsidRPr="00933165" w:rsidRDefault="00B44AB4" w:rsidP="00F00F31">
            <w:pPr>
              <w:cnfStyle w:val="000000000000" w:firstRow="0" w:lastRow="0" w:firstColumn="0" w:lastColumn="0" w:oddVBand="0" w:evenVBand="0" w:oddHBand="0" w:evenHBand="0" w:firstRowFirstColumn="0" w:firstRowLastColumn="0" w:lastRowFirstColumn="0" w:lastRowLastColumn="0"/>
              <w:rPr>
                <w:sz w:val="16"/>
              </w:rPr>
            </w:pPr>
            <w:r w:rsidRPr="00933165">
              <w:rPr>
                <w:sz w:val="16"/>
              </w:rPr>
              <w:t>Essential System Info + Other SI</w:t>
            </w:r>
          </w:p>
        </w:tc>
      </w:tr>
    </w:tbl>
    <w:p w:rsidR="001E10A2" w:rsidRPr="00C15821" w:rsidRDefault="00B442A9">
      <w:pPr>
        <w:rPr>
          <w:sz w:val="16"/>
        </w:rPr>
      </w:pPr>
      <w:r w:rsidRPr="00C15821">
        <w:rPr>
          <w:sz w:val="16"/>
        </w:rPr>
        <w:t>Note 1:</w:t>
      </w:r>
      <w:r w:rsidR="007C5163" w:rsidRPr="00C15821">
        <w:rPr>
          <w:sz w:val="16"/>
        </w:rPr>
        <w:t xml:space="preserve"> The information like RACH parameters (e.g. dedicated Preamble) should be sent in a dedicated manner to a UE from gNB.</w:t>
      </w:r>
    </w:p>
    <w:p w:rsidR="00156525" w:rsidRDefault="00410C8E">
      <w:r w:rsidRPr="00410C8E">
        <w:t>From the table, it can be observed that there are some overlaps between Idle Mode, New State and also between New State and Connected Mode.</w:t>
      </w:r>
      <w:r>
        <w:t xml:space="preserve"> From this perspective, one might want to place the New State in the Idle Mode itself</w:t>
      </w:r>
      <w:r w:rsidR="00156525">
        <w:t xml:space="preserve"> (case 1)</w:t>
      </w:r>
      <w:r>
        <w:t>, as part of the Connected Mode</w:t>
      </w:r>
      <w:r w:rsidR="00156525">
        <w:t xml:space="preserve"> (Case 2), or as a separate/ independent state (Case 3)</w:t>
      </w:r>
      <w:r>
        <w:t xml:space="preserve">. </w:t>
      </w:r>
    </w:p>
    <w:p w:rsidR="00156525" w:rsidRDefault="00156525" w:rsidP="00156525">
      <w:pPr>
        <w:keepNext/>
      </w:pPr>
      <w:r>
        <w:object w:dxaOrig="14990"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4.65pt" o:ole="">
            <v:imagedata r:id="rId9" o:title=""/>
          </v:shape>
          <o:OLEObject Type="Embed" ProgID="Visio.Drawing.11" ShapeID="_x0000_i1025" DrawAspect="Content" ObjectID="_1536752544" r:id="rId10"/>
        </w:object>
      </w:r>
    </w:p>
    <w:p w:rsidR="00156525" w:rsidRDefault="00156525" w:rsidP="00156525">
      <w:pPr>
        <w:pStyle w:val="Caption"/>
        <w:jc w:val="center"/>
      </w:pPr>
      <w:r>
        <w:t xml:space="preserve">Figure </w:t>
      </w:r>
      <w:r>
        <w:fldChar w:fldCharType="begin"/>
      </w:r>
      <w:r>
        <w:instrText xml:space="preserve"> SEQ Figure \* ARABIC </w:instrText>
      </w:r>
      <w:r>
        <w:fldChar w:fldCharType="separate"/>
      </w:r>
      <w:r w:rsidR="00663EF3">
        <w:rPr>
          <w:noProof/>
        </w:rPr>
        <w:t>1</w:t>
      </w:r>
      <w:r>
        <w:fldChar w:fldCharType="end"/>
      </w:r>
      <w:r>
        <w:t>: Placement of New State</w:t>
      </w:r>
    </w:p>
    <w:p w:rsidR="007C5163" w:rsidRDefault="00410C8E">
      <w:r>
        <w:t xml:space="preserve">The main decision point would perhaps be based on following </w:t>
      </w:r>
      <w:r w:rsidR="000B2E48">
        <w:t>comparisons</w:t>
      </w:r>
      <w:r>
        <w:t>:</w:t>
      </w:r>
    </w:p>
    <w:p w:rsidR="00156525" w:rsidRPr="00B70164" w:rsidRDefault="00156525">
      <w:pPr>
        <w:rPr>
          <w:lang w:eastAsia="ja-JP"/>
        </w:rPr>
      </w:pPr>
      <w:r w:rsidRPr="00B70164">
        <w:t>The major differences between New State and Idle Mode</w:t>
      </w:r>
      <w:r w:rsidR="007B283E" w:rsidRPr="00B70164">
        <w:rPr>
          <w:rFonts w:hint="eastAsia"/>
          <w:lang w:eastAsia="ja-JP"/>
        </w:rPr>
        <w:t xml:space="preserve"> but note these are realized by suspend/resume procedure</w:t>
      </w:r>
    </w:p>
    <w:p w:rsidR="00410C8E" w:rsidRDefault="00410C8E" w:rsidP="00410C8E">
      <w:pPr>
        <w:pStyle w:val="ListParagraph"/>
        <w:numPr>
          <w:ilvl w:val="0"/>
          <w:numId w:val="6"/>
        </w:numPr>
      </w:pPr>
      <w:r>
        <w:t>AS Security Context: In Idle mode the security parameters like NCC can’t be updated unilaterally by the UE.</w:t>
      </w:r>
      <w:r w:rsidR="00582547">
        <w:rPr>
          <w:rFonts w:hint="eastAsia"/>
          <w:lang w:eastAsia="ja-JP"/>
        </w:rPr>
        <w:t xml:space="preserve"> New State should maintain AS security context.</w:t>
      </w:r>
      <w:r>
        <w:t xml:space="preserve"> </w:t>
      </w:r>
    </w:p>
    <w:p w:rsidR="004173F3" w:rsidRDefault="004173F3" w:rsidP="00410C8E">
      <w:pPr>
        <w:pStyle w:val="ListParagraph"/>
        <w:numPr>
          <w:ilvl w:val="0"/>
          <w:numId w:val="6"/>
        </w:numPr>
      </w:pPr>
      <w:r>
        <w:t>How many contexts can the network store: If UEs in Idle Mode may perform the Small Data transfer then the RAN needs to maintain the context of huge number of UEs and the Idle mode mobility will be visible to the RAN</w:t>
      </w:r>
      <w:r w:rsidR="00CC4ACB">
        <w:rPr>
          <w:rFonts w:hint="eastAsia"/>
          <w:lang w:eastAsia="ja-JP"/>
        </w:rPr>
        <w:t xml:space="preserve"> but this is required for the behaviour is transparent to CN</w:t>
      </w:r>
    </w:p>
    <w:p w:rsidR="004A35B3" w:rsidRDefault="00D72167" w:rsidP="004A35B3">
      <w:pPr>
        <w:rPr>
          <w:b/>
          <w:lang w:eastAsia="ja-JP"/>
        </w:rPr>
      </w:pPr>
      <w:r>
        <w:rPr>
          <w:b/>
        </w:rPr>
        <w:t xml:space="preserve">Proposal 1: New State </w:t>
      </w:r>
      <w:r>
        <w:rPr>
          <w:rFonts w:hint="eastAsia"/>
          <w:b/>
          <w:lang w:eastAsia="ja-JP"/>
        </w:rPr>
        <w:t>should maintain AS security context by UE.</w:t>
      </w:r>
    </w:p>
    <w:p w:rsidR="00D72167" w:rsidRDefault="00D72167" w:rsidP="00D72167">
      <w:pPr>
        <w:rPr>
          <w:b/>
          <w:lang w:eastAsia="ja-JP"/>
        </w:rPr>
      </w:pPr>
      <w:r>
        <w:rPr>
          <w:b/>
        </w:rPr>
        <w:t xml:space="preserve">Proposal 2: </w:t>
      </w:r>
      <w:r w:rsidR="006A1A30">
        <w:rPr>
          <w:rFonts w:hint="eastAsia"/>
          <w:b/>
          <w:lang w:eastAsia="ja-JP"/>
        </w:rPr>
        <w:t>RAN needs to maintain UE context</w:t>
      </w:r>
      <w:r w:rsidR="003E46C3">
        <w:rPr>
          <w:b/>
          <w:lang w:eastAsia="ja-JP"/>
        </w:rPr>
        <w:t xml:space="preserve"> in the “new state”</w:t>
      </w:r>
      <w:r w:rsidR="006A1A30">
        <w:rPr>
          <w:rFonts w:hint="eastAsia"/>
          <w:b/>
          <w:lang w:eastAsia="ja-JP"/>
        </w:rPr>
        <w:t>.</w:t>
      </w:r>
    </w:p>
    <w:p w:rsidR="00B70164" w:rsidRDefault="00B70164">
      <w:pPr>
        <w:spacing w:after="0"/>
        <w:rPr>
          <w:b/>
        </w:rPr>
      </w:pPr>
      <w:r>
        <w:rPr>
          <w:b/>
        </w:rPr>
        <w:br w:type="page"/>
      </w:r>
    </w:p>
    <w:p w:rsidR="007C5163" w:rsidRPr="00B70164" w:rsidRDefault="004173F3">
      <w:r w:rsidRPr="00B70164">
        <w:lastRenderedPageBreak/>
        <w:t>The major differences between New State and Connected Mode</w:t>
      </w:r>
    </w:p>
    <w:p w:rsidR="004173F3" w:rsidRDefault="004173F3" w:rsidP="004173F3">
      <w:pPr>
        <w:pStyle w:val="ListParagraph"/>
        <w:numPr>
          <w:ilvl w:val="0"/>
          <w:numId w:val="7"/>
        </w:numPr>
        <w:rPr>
          <w:b/>
        </w:rPr>
      </w:pPr>
      <w:r>
        <w:rPr>
          <w:b/>
        </w:rPr>
        <w:t xml:space="preserve">Measurement Reporting may be avoided in the New State </w:t>
      </w:r>
      <w:r w:rsidR="00BE471F">
        <w:rPr>
          <w:b/>
        </w:rPr>
        <w:t xml:space="preserve">but at the same time </w:t>
      </w:r>
      <w:r>
        <w:rPr>
          <w:b/>
        </w:rPr>
        <w:t xml:space="preserve">the mobility </w:t>
      </w:r>
      <w:r w:rsidR="00BE471F">
        <w:rPr>
          <w:b/>
        </w:rPr>
        <w:t>(cell-change) should be notified to the Radio Network to e.g. confirm/ effect the Security key change</w:t>
      </w:r>
      <w:r>
        <w:rPr>
          <w:b/>
        </w:rPr>
        <w:t>.</w:t>
      </w:r>
      <w:r w:rsidR="00BE471F">
        <w:rPr>
          <w:b/>
        </w:rPr>
        <w:t xml:space="preserve"> The Target Radio Network, may confirm the change  (e.g. involving an increased NCC) and also include new dedicated RA parameters.</w:t>
      </w:r>
    </w:p>
    <w:p w:rsidR="00663EF3" w:rsidRDefault="00663EF3" w:rsidP="00002F4D">
      <w:pPr>
        <w:keepNext/>
        <w:ind w:left="360"/>
        <w:jc w:val="center"/>
      </w:pPr>
      <w:r>
        <w:object w:dxaOrig="7737" w:dyaOrig="4619">
          <v:shape id="_x0000_i1026" type="#_x0000_t75" style="width:296pt;height:177.35pt" o:ole="">
            <v:imagedata r:id="rId11" o:title=""/>
          </v:shape>
          <o:OLEObject Type="Embed" ProgID="Visio.Drawing.11" ShapeID="_x0000_i1026" DrawAspect="Content" ObjectID="_1536752545" r:id="rId12"/>
        </w:object>
      </w:r>
    </w:p>
    <w:p w:rsidR="00663EF3" w:rsidRPr="00F833AD" w:rsidRDefault="00663EF3" w:rsidP="00002F4D">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Cell-Change in “new state”</w:t>
      </w:r>
    </w:p>
    <w:p w:rsidR="00D42BE2" w:rsidRPr="00D42BE2" w:rsidRDefault="00D42BE2" w:rsidP="00D42BE2">
      <w:r w:rsidRPr="00D42BE2">
        <w:t>The above difference of “New State” with Connected Mode are essential to provide power saving benefits</w:t>
      </w:r>
      <w:r>
        <w:t xml:space="preserve"> which the New State must enjoy, otherwise the </w:t>
      </w:r>
      <w:r w:rsidRPr="00D42BE2">
        <w:t>Connected Mode</w:t>
      </w:r>
      <w:r>
        <w:t xml:space="preserve"> itself would suffice</w:t>
      </w:r>
      <w:r w:rsidRPr="00D42BE2">
        <w:t>.</w:t>
      </w:r>
    </w:p>
    <w:p w:rsidR="00B37845" w:rsidRDefault="00B37845" w:rsidP="00B37845">
      <w:pPr>
        <w:rPr>
          <w:b/>
          <w:lang w:eastAsia="ja-JP"/>
        </w:rPr>
      </w:pPr>
      <w:r>
        <w:rPr>
          <w:b/>
        </w:rPr>
        <w:t xml:space="preserve">Proposal 1: New State </w:t>
      </w:r>
      <w:r>
        <w:rPr>
          <w:rFonts w:hint="eastAsia"/>
          <w:b/>
          <w:lang w:eastAsia="ja-JP"/>
        </w:rPr>
        <w:t>should maintain AS security context by UE.</w:t>
      </w:r>
    </w:p>
    <w:p w:rsidR="00B37845" w:rsidRDefault="00B37845" w:rsidP="00B37845">
      <w:pPr>
        <w:rPr>
          <w:b/>
          <w:lang w:eastAsia="ja-JP"/>
        </w:rPr>
      </w:pPr>
      <w:r>
        <w:rPr>
          <w:b/>
        </w:rPr>
        <w:t xml:space="preserve">Proposal 2: </w:t>
      </w:r>
      <w:r>
        <w:rPr>
          <w:rFonts w:hint="eastAsia"/>
          <w:b/>
          <w:lang w:eastAsia="ja-JP"/>
        </w:rPr>
        <w:t>RAN needs to maintain UE context.</w:t>
      </w:r>
    </w:p>
    <w:p w:rsidR="00D42BE2" w:rsidRDefault="00D42BE2" w:rsidP="000B2E48">
      <w:pPr>
        <w:rPr>
          <w:b/>
        </w:rPr>
      </w:pPr>
      <w:r>
        <w:rPr>
          <w:b/>
        </w:rPr>
        <w:t xml:space="preserve">Proposal </w:t>
      </w:r>
      <w:r w:rsidR="00B37845">
        <w:rPr>
          <w:rFonts w:hint="eastAsia"/>
          <w:b/>
          <w:lang w:eastAsia="ja-JP"/>
        </w:rPr>
        <w:t>3</w:t>
      </w:r>
      <w:r>
        <w:rPr>
          <w:b/>
        </w:rPr>
        <w:t xml:space="preserve">: </w:t>
      </w:r>
      <w:r w:rsidR="00B22FDF">
        <w:rPr>
          <w:b/>
        </w:rPr>
        <w:t xml:space="preserve">In order to differentiate from the Connected Mode, </w:t>
      </w:r>
      <w:r>
        <w:rPr>
          <w:b/>
        </w:rPr>
        <w:t xml:space="preserve">RAN2 should further focus on providing power saving possibilities in the “New State” </w:t>
      </w:r>
      <w:r w:rsidR="00B22FDF">
        <w:rPr>
          <w:b/>
        </w:rPr>
        <w:t xml:space="preserve">e.g. by restricting </w:t>
      </w:r>
      <w:r w:rsidR="0041308A">
        <w:rPr>
          <w:b/>
        </w:rPr>
        <w:t>(</w:t>
      </w:r>
      <w:r w:rsidR="00B22FDF">
        <w:rPr>
          <w:b/>
        </w:rPr>
        <w:t xml:space="preserve">or </w:t>
      </w:r>
      <w:r w:rsidR="0041308A">
        <w:rPr>
          <w:b/>
        </w:rPr>
        <w:t xml:space="preserve">even </w:t>
      </w:r>
      <w:r w:rsidR="00B22FDF">
        <w:rPr>
          <w:b/>
        </w:rPr>
        <w:t>eliminating</w:t>
      </w:r>
      <w:r w:rsidR="0041308A">
        <w:rPr>
          <w:b/>
        </w:rPr>
        <w:t>)</w:t>
      </w:r>
      <w:r w:rsidR="00B22FDF">
        <w:rPr>
          <w:b/>
        </w:rPr>
        <w:t xml:space="preserve"> measurement reporting</w:t>
      </w:r>
      <w:r w:rsidR="00B37845">
        <w:rPr>
          <w:rFonts w:hint="eastAsia"/>
          <w:b/>
          <w:lang w:eastAsia="ja-JP"/>
        </w:rPr>
        <w:t>.</w:t>
      </w:r>
      <w:r>
        <w:rPr>
          <w:b/>
        </w:rPr>
        <w:t xml:space="preserve">  </w:t>
      </w:r>
    </w:p>
    <w:p w:rsidR="003E46C3" w:rsidRDefault="003E46C3" w:rsidP="000B2E48">
      <w:pPr>
        <w:rPr>
          <w:b/>
        </w:rPr>
      </w:pPr>
      <w:r>
        <w:rPr>
          <w:b/>
        </w:rPr>
        <w:t>From, the above discussion and Proposals it seems that the “new state” should either be modelled as part of RRC_Connected (Case 2) or as a separate state (Case 3).</w:t>
      </w:r>
    </w:p>
    <w:p w:rsidR="003E46C3" w:rsidRDefault="003E46C3" w:rsidP="000B2E48">
      <w:pPr>
        <w:rPr>
          <w:b/>
        </w:rPr>
      </w:pPr>
      <w:r>
        <w:rPr>
          <w:b/>
        </w:rPr>
        <w:t>Proposal 4: The “new state” should either be modelled as part of RRC_Connected (Case 2) or as a separate state (Case 3).</w:t>
      </w:r>
    </w:p>
    <w:p w:rsidR="002E2FAF" w:rsidRDefault="002E2FAF">
      <w:pPr>
        <w:pStyle w:val="Heading1"/>
        <w:ind w:left="0" w:firstLine="0"/>
      </w:pPr>
      <w:r>
        <w:rPr>
          <w:rFonts w:hint="eastAsia"/>
        </w:rPr>
        <w:t>Conclusions</w:t>
      </w:r>
    </w:p>
    <w:p w:rsidR="00F94A0B" w:rsidRPr="00702F08" w:rsidRDefault="00446BD7">
      <w:pPr>
        <w:pStyle w:val="CommentText"/>
      </w:pPr>
      <w:r w:rsidRPr="00702F08">
        <w:t>This document</w:t>
      </w:r>
      <w:r w:rsidR="003E46C3" w:rsidRPr="00702F08">
        <w:t xml:space="preserve"> discussed aspects of “new state” e.g. where it is placed and what should be its main </w:t>
      </w:r>
      <w:r w:rsidR="00F94A0B" w:rsidRPr="00702F08">
        <w:t>characteristics/ functionalities. Following proposals are made as a result:</w:t>
      </w:r>
    </w:p>
    <w:p w:rsidR="00F94A0B" w:rsidRPr="00E017AE" w:rsidRDefault="00F94A0B" w:rsidP="0008147E">
      <w:pPr>
        <w:pStyle w:val="CommentText"/>
        <w:rPr>
          <w:b/>
        </w:rPr>
      </w:pPr>
      <w:r w:rsidRPr="00E017AE">
        <w:rPr>
          <w:b/>
        </w:rPr>
        <w:t>Proposal 1: New State should maintain AS security context by UE.</w:t>
      </w:r>
    </w:p>
    <w:p w:rsidR="00F94A0B" w:rsidRPr="00E017AE" w:rsidRDefault="00F94A0B" w:rsidP="0008147E">
      <w:pPr>
        <w:pStyle w:val="CommentText"/>
        <w:rPr>
          <w:b/>
        </w:rPr>
      </w:pPr>
      <w:r w:rsidRPr="00E017AE">
        <w:rPr>
          <w:b/>
        </w:rPr>
        <w:t>Proposal 2: RAN needs to maintain UE context.</w:t>
      </w:r>
    </w:p>
    <w:p w:rsidR="00F94A0B" w:rsidRPr="00E017AE" w:rsidRDefault="00F94A0B" w:rsidP="0008147E">
      <w:pPr>
        <w:pStyle w:val="CommentText"/>
        <w:rPr>
          <w:b/>
        </w:rPr>
      </w:pPr>
      <w:r w:rsidRPr="00E017AE">
        <w:rPr>
          <w:b/>
        </w:rPr>
        <w:t xml:space="preserve">Proposal 3: In order to differentiate from the Connected Mode, RAN2 should further focus on providing power saving possibilities in the “New State” e.g. by restricting (or even eliminating) measurement reporting.  </w:t>
      </w:r>
    </w:p>
    <w:p w:rsidR="002E2FAF" w:rsidRPr="00E017AE" w:rsidRDefault="00F94A0B" w:rsidP="00F94A0B">
      <w:pPr>
        <w:pStyle w:val="CommentText"/>
        <w:rPr>
          <w:b/>
        </w:rPr>
      </w:pPr>
      <w:r w:rsidRPr="00E017AE">
        <w:rPr>
          <w:b/>
        </w:rPr>
        <w:t>Proposal 4: The “new state” should either be modelled as part of RRC_Connected (Case 2) or as a separate state (Case 3).</w:t>
      </w:r>
    </w:p>
    <w:p w:rsidR="002E2FAF" w:rsidRDefault="002E2FAF">
      <w:pPr>
        <w:pStyle w:val="Heading1"/>
        <w:rPr>
          <w:rFonts w:cs="Arial"/>
        </w:rPr>
      </w:pPr>
      <w:r>
        <w:rPr>
          <w:rFonts w:cs="Arial" w:hint="eastAsia"/>
        </w:rPr>
        <w:t>References</w:t>
      </w:r>
    </w:p>
    <w:p w:rsidR="002E2FAF" w:rsidRDefault="002E2FAF">
      <w:r>
        <w:t>[</w:t>
      </w:r>
      <w:r w:rsidR="00DD1A51">
        <w:fldChar w:fldCharType="begin"/>
      </w:r>
      <w:r w:rsidR="00DD1A51">
        <w:instrText xml:space="preserve"> SEQ test \* Arabic \* MERGEFORMAT </w:instrText>
      </w:r>
      <w:r w:rsidR="00DD1A51">
        <w:fldChar w:fldCharType="separate"/>
      </w:r>
      <w:r>
        <w:rPr>
          <w:noProof/>
        </w:rPr>
        <w:t>1</w:t>
      </w:r>
      <w:r w:rsidR="00DD1A51">
        <w:rPr>
          <w:noProof/>
        </w:rPr>
        <w:fldChar w:fldCharType="end"/>
      </w:r>
      <w:r>
        <w:t>]</w:t>
      </w:r>
      <w:r>
        <w:tab/>
      </w:r>
      <w:r>
        <w:tab/>
      </w:r>
      <w:r w:rsidR="008E4D29" w:rsidRPr="00425687">
        <w:t>[95#28</w:t>
      </w:r>
      <w:proofErr w:type="gramStart"/>
      <w:r w:rsidR="008E4D29" w:rsidRPr="00425687">
        <w:t>][</w:t>
      </w:r>
      <w:proofErr w:type="gramEnd"/>
      <w:r w:rsidR="008E4D29" w:rsidRPr="00425687">
        <w:t>NR] Data transmission in 'new state'</w:t>
      </w:r>
    </w:p>
    <w:p w:rsidR="002E2FAF" w:rsidRDefault="002E2FAF"/>
    <w:sectPr w:rsidR="002E2FA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A51" w:rsidRDefault="00DD1A51">
      <w:r>
        <w:separator/>
      </w:r>
    </w:p>
  </w:endnote>
  <w:endnote w:type="continuationSeparator" w:id="0">
    <w:p w:rsidR="00DD1A51" w:rsidRDefault="00DD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MS UI 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6D6" w:rsidRDefault="004C36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A51" w:rsidRDefault="00DD1A51">
      <w:r>
        <w:separator/>
      </w:r>
    </w:p>
  </w:footnote>
  <w:footnote w:type="continuationSeparator" w:id="0">
    <w:p w:rsidR="00DD1A51" w:rsidRDefault="00DD1A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575F1C19"/>
    <w:multiLevelType w:val="hybridMultilevel"/>
    <w:tmpl w:val="07BE6E10"/>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7E8D3DFC"/>
    <w:multiLevelType w:val="hybridMultilevel"/>
    <w:tmpl w:val="110EA2A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08D"/>
    <w:rsid w:val="00002F4D"/>
    <w:rsid w:val="00035F98"/>
    <w:rsid w:val="0004462A"/>
    <w:rsid w:val="00075451"/>
    <w:rsid w:val="0008147E"/>
    <w:rsid w:val="000B2E48"/>
    <w:rsid w:val="000B493E"/>
    <w:rsid w:val="000F6ADB"/>
    <w:rsid w:val="0012342D"/>
    <w:rsid w:val="0012708D"/>
    <w:rsid w:val="00143DA6"/>
    <w:rsid w:val="00156525"/>
    <w:rsid w:val="001D14AA"/>
    <w:rsid w:val="001E10A2"/>
    <w:rsid w:val="00256EA1"/>
    <w:rsid w:val="00270A5F"/>
    <w:rsid w:val="00280DB6"/>
    <w:rsid w:val="002C278E"/>
    <w:rsid w:val="002C552D"/>
    <w:rsid w:val="002E2FAF"/>
    <w:rsid w:val="003331C6"/>
    <w:rsid w:val="00387BD9"/>
    <w:rsid w:val="003A4FED"/>
    <w:rsid w:val="003E46C3"/>
    <w:rsid w:val="003E5F7D"/>
    <w:rsid w:val="00410C8E"/>
    <w:rsid w:val="0041308A"/>
    <w:rsid w:val="004173F3"/>
    <w:rsid w:val="00425687"/>
    <w:rsid w:val="00446BD7"/>
    <w:rsid w:val="004664E5"/>
    <w:rsid w:val="004A35B3"/>
    <w:rsid w:val="004C36D6"/>
    <w:rsid w:val="005372E6"/>
    <w:rsid w:val="005757A3"/>
    <w:rsid w:val="00582547"/>
    <w:rsid w:val="00582A8E"/>
    <w:rsid w:val="0059452B"/>
    <w:rsid w:val="00614E92"/>
    <w:rsid w:val="00615C7F"/>
    <w:rsid w:val="00617FB2"/>
    <w:rsid w:val="00630C3B"/>
    <w:rsid w:val="00632151"/>
    <w:rsid w:val="00663EF3"/>
    <w:rsid w:val="00695E86"/>
    <w:rsid w:val="006A1A30"/>
    <w:rsid w:val="006A2D51"/>
    <w:rsid w:val="006A77FD"/>
    <w:rsid w:val="006E6CD7"/>
    <w:rsid w:val="00702F08"/>
    <w:rsid w:val="00713C7A"/>
    <w:rsid w:val="00752D3F"/>
    <w:rsid w:val="007B283E"/>
    <w:rsid w:val="007B7D46"/>
    <w:rsid w:val="007C5163"/>
    <w:rsid w:val="007C6131"/>
    <w:rsid w:val="007F3B71"/>
    <w:rsid w:val="007F670F"/>
    <w:rsid w:val="008361FA"/>
    <w:rsid w:val="00842B87"/>
    <w:rsid w:val="008611F8"/>
    <w:rsid w:val="008E4D29"/>
    <w:rsid w:val="00921CA8"/>
    <w:rsid w:val="00933165"/>
    <w:rsid w:val="00941BC8"/>
    <w:rsid w:val="009A02EC"/>
    <w:rsid w:val="009A47D9"/>
    <w:rsid w:val="009C6A49"/>
    <w:rsid w:val="009D5F82"/>
    <w:rsid w:val="009F76EC"/>
    <w:rsid w:val="00A1576D"/>
    <w:rsid w:val="00B02CB3"/>
    <w:rsid w:val="00B22FDF"/>
    <w:rsid w:val="00B37845"/>
    <w:rsid w:val="00B442A9"/>
    <w:rsid w:val="00B44AB4"/>
    <w:rsid w:val="00B70164"/>
    <w:rsid w:val="00B72330"/>
    <w:rsid w:val="00BE471F"/>
    <w:rsid w:val="00C0033C"/>
    <w:rsid w:val="00C10763"/>
    <w:rsid w:val="00C15821"/>
    <w:rsid w:val="00C52E12"/>
    <w:rsid w:val="00C70C6F"/>
    <w:rsid w:val="00C77285"/>
    <w:rsid w:val="00CB24EA"/>
    <w:rsid w:val="00CC4ACB"/>
    <w:rsid w:val="00CD652F"/>
    <w:rsid w:val="00CE1342"/>
    <w:rsid w:val="00D11EC0"/>
    <w:rsid w:val="00D42BE2"/>
    <w:rsid w:val="00D54F44"/>
    <w:rsid w:val="00D6755C"/>
    <w:rsid w:val="00D72167"/>
    <w:rsid w:val="00D73EBF"/>
    <w:rsid w:val="00DC7ECE"/>
    <w:rsid w:val="00DD1A51"/>
    <w:rsid w:val="00E017AE"/>
    <w:rsid w:val="00E0448F"/>
    <w:rsid w:val="00E16423"/>
    <w:rsid w:val="00E54D46"/>
    <w:rsid w:val="00E616DC"/>
    <w:rsid w:val="00E7531B"/>
    <w:rsid w:val="00E814D6"/>
    <w:rsid w:val="00E95E11"/>
    <w:rsid w:val="00ED3165"/>
    <w:rsid w:val="00EF3DBC"/>
    <w:rsid w:val="00F4636C"/>
    <w:rsid w:val="00F833AD"/>
    <w:rsid w:val="00F94A0B"/>
    <w:rsid w:val="00FD6B4A"/>
    <w:rsid w:val="00FE7825"/>
    <w:rsid w:val="00FF1A3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E95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2">
    <w:name w:val="Table Colorful 2"/>
    <w:basedOn w:val="TableNormal"/>
    <w:rsid w:val="00C52E12"/>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styleId="ListParagraph">
    <w:name w:val="List Paragraph"/>
    <w:basedOn w:val="Normal"/>
    <w:uiPriority w:val="34"/>
    <w:qFormat/>
    <w:rsid w:val="00410C8E"/>
    <w:pPr>
      <w:ind w:left="720"/>
      <w:contextualSpacing/>
    </w:pPr>
  </w:style>
  <w:style w:type="paragraph" w:styleId="Subtitle">
    <w:name w:val="Subtitle"/>
    <w:basedOn w:val="Normal"/>
    <w:next w:val="Normal"/>
    <w:link w:val="SubtitleChar"/>
    <w:qFormat/>
    <w:rsid w:val="000B2E4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0B2E48"/>
    <w:rPr>
      <w:rFonts w:asciiTheme="majorHAnsi" w:eastAsiaTheme="majorEastAsia" w:hAnsiTheme="majorHAnsi" w:cstheme="majorBidi"/>
      <w:i/>
      <w:iCs/>
      <w:color w:val="4F81BD" w:themeColor="accent1"/>
      <w:spacing w:val="15"/>
      <w:sz w:val="24"/>
      <w:szCs w:val="24"/>
      <w:lang w:val="en-GB" w:eastAsia="en-US"/>
    </w:rPr>
  </w:style>
  <w:style w:type="paragraph" w:styleId="BalloonText">
    <w:name w:val="Balloon Text"/>
    <w:basedOn w:val="Normal"/>
    <w:link w:val="BalloonTextChar"/>
    <w:rsid w:val="00F833AD"/>
    <w:pPr>
      <w:spacing w:after="0"/>
    </w:pPr>
    <w:rPr>
      <w:rFonts w:ascii="MS UI Gothic" w:eastAsia="MS UI Gothic"/>
      <w:sz w:val="18"/>
      <w:szCs w:val="18"/>
    </w:rPr>
  </w:style>
  <w:style w:type="character" w:customStyle="1" w:styleId="BalloonTextChar">
    <w:name w:val="Balloon Text Char"/>
    <w:basedOn w:val="DefaultParagraphFont"/>
    <w:link w:val="BalloonText"/>
    <w:rsid w:val="00F833AD"/>
    <w:rPr>
      <w:rFonts w:ascii="MS UI Gothic" w:eastAsia="MS UI Gothic"/>
      <w:sz w:val="18"/>
      <w:szCs w:val="18"/>
      <w:lang w:val="en-GB" w:eastAsia="en-US"/>
    </w:rPr>
  </w:style>
  <w:style w:type="paragraph" w:styleId="CommentSubject">
    <w:name w:val="annotation subject"/>
    <w:basedOn w:val="CommentText"/>
    <w:next w:val="CommentText"/>
    <w:link w:val="CommentSubjectChar"/>
    <w:rsid w:val="004664E5"/>
    <w:rPr>
      <w:b/>
      <w:bCs/>
    </w:rPr>
  </w:style>
  <w:style w:type="character" w:customStyle="1" w:styleId="CommentTextChar">
    <w:name w:val="Comment Text Char"/>
    <w:basedOn w:val="DefaultParagraphFont"/>
    <w:link w:val="CommentText"/>
    <w:semiHidden/>
    <w:rsid w:val="004664E5"/>
    <w:rPr>
      <w:lang w:val="en-GB" w:eastAsia="en-US"/>
    </w:rPr>
  </w:style>
  <w:style w:type="character" w:customStyle="1" w:styleId="CommentSubjectChar">
    <w:name w:val="Comment Subject Char"/>
    <w:basedOn w:val="CommentTextChar"/>
    <w:link w:val="CommentSubject"/>
    <w:rsid w:val="004664E5"/>
    <w:rPr>
      <w:b/>
      <w:bCs/>
      <w:lang w:val="en-GB" w:eastAsia="en-US"/>
    </w:rPr>
  </w:style>
  <w:style w:type="paragraph" w:styleId="Revision">
    <w:name w:val="Revision"/>
    <w:hidden/>
    <w:uiPriority w:val="99"/>
    <w:semiHidden/>
    <w:rsid w:val="009D5F82"/>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E95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2">
    <w:name w:val="Table Colorful 2"/>
    <w:basedOn w:val="TableNormal"/>
    <w:rsid w:val="00C52E12"/>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styleId="ListParagraph">
    <w:name w:val="List Paragraph"/>
    <w:basedOn w:val="Normal"/>
    <w:uiPriority w:val="34"/>
    <w:qFormat/>
    <w:rsid w:val="00410C8E"/>
    <w:pPr>
      <w:ind w:left="720"/>
      <w:contextualSpacing/>
    </w:pPr>
  </w:style>
  <w:style w:type="paragraph" w:styleId="Subtitle">
    <w:name w:val="Subtitle"/>
    <w:basedOn w:val="Normal"/>
    <w:next w:val="Normal"/>
    <w:link w:val="SubtitleChar"/>
    <w:qFormat/>
    <w:rsid w:val="000B2E4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0B2E48"/>
    <w:rPr>
      <w:rFonts w:asciiTheme="majorHAnsi" w:eastAsiaTheme="majorEastAsia" w:hAnsiTheme="majorHAnsi" w:cstheme="majorBidi"/>
      <w:i/>
      <w:iCs/>
      <w:color w:val="4F81BD" w:themeColor="accent1"/>
      <w:spacing w:val="15"/>
      <w:sz w:val="24"/>
      <w:szCs w:val="24"/>
      <w:lang w:val="en-GB" w:eastAsia="en-US"/>
    </w:rPr>
  </w:style>
  <w:style w:type="paragraph" w:styleId="BalloonText">
    <w:name w:val="Balloon Text"/>
    <w:basedOn w:val="Normal"/>
    <w:link w:val="BalloonTextChar"/>
    <w:rsid w:val="00F833AD"/>
    <w:pPr>
      <w:spacing w:after="0"/>
    </w:pPr>
    <w:rPr>
      <w:rFonts w:ascii="MS UI Gothic" w:eastAsia="MS UI Gothic"/>
      <w:sz w:val="18"/>
      <w:szCs w:val="18"/>
    </w:rPr>
  </w:style>
  <w:style w:type="character" w:customStyle="1" w:styleId="BalloonTextChar">
    <w:name w:val="Balloon Text Char"/>
    <w:basedOn w:val="DefaultParagraphFont"/>
    <w:link w:val="BalloonText"/>
    <w:rsid w:val="00F833AD"/>
    <w:rPr>
      <w:rFonts w:ascii="MS UI Gothic" w:eastAsia="MS UI Gothic"/>
      <w:sz w:val="18"/>
      <w:szCs w:val="18"/>
      <w:lang w:val="en-GB" w:eastAsia="en-US"/>
    </w:rPr>
  </w:style>
  <w:style w:type="paragraph" w:styleId="CommentSubject">
    <w:name w:val="annotation subject"/>
    <w:basedOn w:val="CommentText"/>
    <w:next w:val="CommentText"/>
    <w:link w:val="CommentSubjectChar"/>
    <w:rsid w:val="004664E5"/>
    <w:rPr>
      <w:b/>
      <w:bCs/>
    </w:rPr>
  </w:style>
  <w:style w:type="character" w:customStyle="1" w:styleId="CommentTextChar">
    <w:name w:val="Comment Text Char"/>
    <w:basedOn w:val="DefaultParagraphFont"/>
    <w:link w:val="CommentText"/>
    <w:semiHidden/>
    <w:rsid w:val="004664E5"/>
    <w:rPr>
      <w:lang w:val="en-GB" w:eastAsia="en-US"/>
    </w:rPr>
  </w:style>
  <w:style w:type="character" w:customStyle="1" w:styleId="CommentSubjectChar">
    <w:name w:val="Comment Subject Char"/>
    <w:basedOn w:val="CommentTextChar"/>
    <w:link w:val="CommentSubject"/>
    <w:rsid w:val="004664E5"/>
    <w:rPr>
      <w:b/>
      <w:bCs/>
      <w:lang w:val="en-GB" w:eastAsia="en-US"/>
    </w:rPr>
  </w:style>
  <w:style w:type="paragraph" w:styleId="Revision">
    <w:name w:val="Revision"/>
    <w:hidden/>
    <w:uiPriority w:val="99"/>
    <w:semiHidden/>
    <w:rsid w:val="009D5F8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06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52F96-504D-43C6-9021-5091E2AEB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1014</Words>
  <Characters>6391</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Eiko Seidel, Alexander Golitschek</dc:creator>
  <cp:keywords>3GPP</cp:keywords>
  <cp:lastModifiedBy>Pana2</cp:lastModifiedBy>
  <cp:revision>12</cp:revision>
  <dcterms:created xsi:type="dcterms:W3CDTF">2016-09-30T12:34:00Z</dcterms:created>
  <dcterms:modified xsi:type="dcterms:W3CDTF">2016-09-30T12:55:00Z</dcterms:modified>
</cp:coreProperties>
</file>